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077A5" w14:textId="5B6CAB19" w:rsidR="00121863" w:rsidRDefault="00121863" w:rsidP="006B5178">
      <w:pPr>
        <w:pStyle w:val="NoSpacing"/>
        <w:jc w:val="center"/>
        <w:rPr>
          <w:b/>
          <w:sz w:val="32"/>
          <w:szCs w:val="32"/>
        </w:rPr>
      </w:pPr>
      <w:r>
        <w:rPr>
          <w:noProof/>
        </w:rPr>
        <w:drawing>
          <wp:inline distT="0" distB="0" distL="0" distR="0" wp14:anchorId="6A430B25" wp14:editId="2C72A805">
            <wp:extent cx="2076450" cy="15573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logo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4076" cy="1600558"/>
                    </a:xfrm>
                    <a:prstGeom prst="rect">
                      <a:avLst/>
                    </a:prstGeom>
                  </pic:spPr>
                </pic:pic>
              </a:graphicData>
            </a:graphic>
          </wp:inline>
        </w:drawing>
      </w:r>
    </w:p>
    <w:p w14:paraId="72ECB30C" w14:textId="77777777" w:rsidR="006B5178" w:rsidRDefault="006B5178" w:rsidP="006B5178">
      <w:pPr>
        <w:pStyle w:val="NoSpacing"/>
        <w:jc w:val="center"/>
        <w:rPr>
          <w:b/>
          <w:sz w:val="32"/>
          <w:szCs w:val="32"/>
        </w:rPr>
      </w:pPr>
    </w:p>
    <w:p w14:paraId="422EC4E4" w14:textId="17E76852" w:rsidR="006A788F" w:rsidRDefault="0080377C" w:rsidP="00121863">
      <w:pPr>
        <w:pStyle w:val="NoSpacing"/>
        <w:jc w:val="center"/>
        <w:rPr>
          <w:b/>
          <w:sz w:val="32"/>
          <w:szCs w:val="32"/>
        </w:rPr>
      </w:pPr>
      <w:r w:rsidRPr="00121863">
        <w:rPr>
          <w:b/>
          <w:sz w:val="32"/>
          <w:szCs w:val="32"/>
        </w:rPr>
        <w:t>CASE Contracts</w:t>
      </w:r>
      <w:r w:rsidR="000608B2">
        <w:rPr>
          <w:b/>
          <w:sz w:val="32"/>
          <w:szCs w:val="32"/>
        </w:rPr>
        <w:t xml:space="preserve"> - </w:t>
      </w:r>
      <w:r w:rsidRPr="00121863">
        <w:rPr>
          <w:b/>
          <w:sz w:val="32"/>
          <w:szCs w:val="32"/>
        </w:rPr>
        <w:t>Usage Guide</w:t>
      </w:r>
    </w:p>
    <w:p w14:paraId="2399E08A" w14:textId="77777777" w:rsidR="000608B2" w:rsidRPr="000608B2" w:rsidRDefault="000608B2" w:rsidP="00121863">
      <w:pPr>
        <w:pStyle w:val="NoSpacing"/>
        <w:jc w:val="center"/>
        <w:rPr>
          <w:b/>
          <w:sz w:val="16"/>
          <w:szCs w:val="16"/>
        </w:rPr>
      </w:pPr>
    </w:p>
    <w:tbl>
      <w:tblPr>
        <w:tblStyle w:val="TableGrid"/>
        <w:tblW w:w="22680" w:type="dxa"/>
        <w:tblInd w:w="-342" w:type="dxa"/>
        <w:tblLayout w:type="fixed"/>
        <w:tblLook w:val="04A0" w:firstRow="1" w:lastRow="0" w:firstColumn="1" w:lastColumn="0" w:noHBand="0" w:noVBand="1"/>
      </w:tblPr>
      <w:tblGrid>
        <w:gridCol w:w="8820"/>
        <w:gridCol w:w="7110"/>
        <w:gridCol w:w="6750"/>
      </w:tblGrid>
      <w:tr w:rsidR="0080377C" w:rsidRPr="00B2211C" w14:paraId="3CCC1E11" w14:textId="77777777" w:rsidTr="00EC68B7">
        <w:tc>
          <w:tcPr>
            <w:tcW w:w="8820" w:type="dxa"/>
          </w:tcPr>
          <w:p w14:paraId="615E892D" w14:textId="481256C9" w:rsidR="0080377C" w:rsidRPr="006B5178" w:rsidRDefault="01E60BB0" w:rsidP="006575AC">
            <w:pPr>
              <w:jc w:val="center"/>
              <w:rPr>
                <w:b/>
                <w:bCs/>
                <w:sz w:val="24"/>
                <w:szCs w:val="24"/>
                <w:u w:val="single"/>
              </w:rPr>
            </w:pPr>
            <w:r w:rsidRPr="006B5178">
              <w:rPr>
                <w:b/>
                <w:bCs/>
                <w:sz w:val="24"/>
                <w:szCs w:val="24"/>
                <w:u w:val="single"/>
              </w:rPr>
              <w:t xml:space="preserve">Structural Engineer is </w:t>
            </w:r>
            <w:r w:rsidR="000608B2" w:rsidRPr="006B5178">
              <w:rPr>
                <w:b/>
                <w:bCs/>
                <w:sz w:val="24"/>
                <w:szCs w:val="24"/>
                <w:u w:val="single"/>
              </w:rPr>
              <w:t>R</w:t>
            </w:r>
            <w:r w:rsidRPr="006B5178">
              <w:rPr>
                <w:b/>
                <w:bCs/>
                <w:sz w:val="24"/>
                <w:szCs w:val="24"/>
                <w:u w:val="single"/>
              </w:rPr>
              <w:t>etained</w:t>
            </w:r>
          </w:p>
        </w:tc>
        <w:tc>
          <w:tcPr>
            <w:tcW w:w="7110" w:type="dxa"/>
          </w:tcPr>
          <w:p w14:paraId="0DE8855C" w14:textId="2D827A1C" w:rsidR="006B5178" w:rsidRDefault="01E60BB0" w:rsidP="006575AC">
            <w:pPr>
              <w:jc w:val="center"/>
              <w:rPr>
                <w:b/>
                <w:bCs/>
                <w:sz w:val="24"/>
                <w:szCs w:val="24"/>
                <w:u w:val="single"/>
              </w:rPr>
            </w:pPr>
            <w:r w:rsidRPr="006B5178">
              <w:rPr>
                <w:b/>
                <w:bCs/>
                <w:sz w:val="24"/>
                <w:szCs w:val="24"/>
                <w:u w:val="single"/>
              </w:rPr>
              <w:t xml:space="preserve">Structural Engineer is </w:t>
            </w:r>
            <w:r w:rsidR="000608B2" w:rsidRPr="006B5178">
              <w:rPr>
                <w:b/>
                <w:bCs/>
                <w:sz w:val="24"/>
                <w:szCs w:val="24"/>
                <w:u w:val="single"/>
              </w:rPr>
              <w:t>R</w:t>
            </w:r>
            <w:r w:rsidRPr="006B5178">
              <w:rPr>
                <w:b/>
                <w:bCs/>
                <w:sz w:val="24"/>
                <w:szCs w:val="24"/>
                <w:u w:val="single"/>
              </w:rPr>
              <w:t>etaining</w:t>
            </w:r>
          </w:p>
          <w:p w14:paraId="4515061F" w14:textId="3244A130" w:rsidR="0080377C" w:rsidRPr="006B5178" w:rsidRDefault="000608B2" w:rsidP="000608B2">
            <w:pPr>
              <w:jc w:val="center"/>
              <w:rPr>
                <w:b/>
                <w:bCs/>
                <w:sz w:val="24"/>
                <w:szCs w:val="24"/>
                <w:u w:val="single"/>
              </w:rPr>
            </w:pPr>
            <w:r w:rsidRPr="006B5178">
              <w:rPr>
                <w:b/>
                <w:bCs/>
                <w:sz w:val="24"/>
                <w:szCs w:val="24"/>
                <w:u w:val="single"/>
              </w:rPr>
              <w:t>Additional Entity</w:t>
            </w:r>
          </w:p>
        </w:tc>
        <w:tc>
          <w:tcPr>
            <w:tcW w:w="6750" w:type="dxa"/>
          </w:tcPr>
          <w:p w14:paraId="0ADFC22E" w14:textId="77777777" w:rsidR="0080377C" w:rsidRPr="006B5178" w:rsidRDefault="0080377C" w:rsidP="00121863">
            <w:pPr>
              <w:jc w:val="center"/>
              <w:rPr>
                <w:b/>
                <w:sz w:val="24"/>
                <w:szCs w:val="24"/>
                <w:u w:val="single"/>
              </w:rPr>
            </w:pPr>
            <w:r w:rsidRPr="006B5178">
              <w:rPr>
                <w:b/>
                <w:sz w:val="24"/>
                <w:szCs w:val="24"/>
                <w:u w:val="single"/>
              </w:rPr>
              <w:t>Other Situations</w:t>
            </w:r>
          </w:p>
        </w:tc>
      </w:tr>
      <w:tr w:rsidR="0080377C" w14:paraId="395D3D8E" w14:textId="77777777" w:rsidTr="00EC68B7">
        <w:tc>
          <w:tcPr>
            <w:tcW w:w="8820" w:type="dxa"/>
          </w:tcPr>
          <w:p w14:paraId="798C6EB4" w14:textId="00F69447" w:rsidR="0080377C" w:rsidRPr="00EC68B7" w:rsidRDefault="01E60BB0" w:rsidP="0080377C">
            <w:pPr>
              <w:pStyle w:val="ListParagraph"/>
              <w:numPr>
                <w:ilvl w:val="0"/>
                <w:numId w:val="1"/>
              </w:numPr>
              <w:rPr>
                <w:sz w:val="23"/>
                <w:szCs w:val="23"/>
              </w:rPr>
            </w:pPr>
            <w:bookmarkStart w:id="0" w:name="_GoBack"/>
            <w:bookmarkEnd w:id="0"/>
            <w:r w:rsidRPr="00EC68B7">
              <w:rPr>
                <w:b/>
                <w:bCs/>
                <w:i/>
                <w:iCs/>
                <w:sz w:val="23"/>
                <w:szCs w:val="23"/>
              </w:rPr>
              <w:t xml:space="preserve">CASE </w:t>
            </w:r>
            <w:r w:rsidR="006A53C6" w:rsidRPr="00EC68B7">
              <w:rPr>
                <w:b/>
                <w:bCs/>
                <w:i/>
                <w:iCs/>
                <w:sz w:val="23"/>
                <w:szCs w:val="23"/>
              </w:rPr>
              <w:t>Agreement</w:t>
            </w:r>
            <w:r w:rsidRPr="00EC68B7">
              <w:rPr>
                <w:b/>
                <w:bCs/>
                <w:i/>
                <w:iCs/>
                <w:sz w:val="23"/>
                <w:szCs w:val="23"/>
              </w:rPr>
              <w:t xml:space="preserve"> #1</w:t>
            </w:r>
            <w:r w:rsidRPr="00EC68B7">
              <w:rPr>
                <w:sz w:val="23"/>
                <w:szCs w:val="23"/>
              </w:rPr>
              <w:t xml:space="preserve"> – </w:t>
            </w:r>
            <w:r w:rsidRPr="00EC68B7">
              <w:rPr>
                <w:i/>
                <w:iCs/>
                <w:sz w:val="23"/>
                <w:szCs w:val="23"/>
              </w:rPr>
              <w:t xml:space="preserve">An Agreement for the Provision of Limited Professional Services. </w:t>
            </w:r>
            <w:r w:rsidRPr="00EC68B7">
              <w:rPr>
                <w:sz w:val="23"/>
                <w:szCs w:val="23"/>
              </w:rPr>
              <w:t xml:space="preserve"> This agreement is intended for use for small projects or investigations of limited scope and time duration.</w:t>
            </w:r>
          </w:p>
          <w:p w14:paraId="360EF28D" w14:textId="39C4F0E2" w:rsidR="0080377C" w:rsidRPr="00EC68B7" w:rsidRDefault="01E60BB0" w:rsidP="0080377C">
            <w:pPr>
              <w:pStyle w:val="ListParagraph"/>
              <w:numPr>
                <w:ilvl w:val="0"/>
                <w:numId w:val="1"/>
              </w:numPr>
              <w:rPr>
                <w:sz w:val="23"/>
                <w:szCs w:val="23"/>
              </w:rPr>
            </w:pPr>
            <w:r w:rsidRPr="00EC68B7">
              <w:rPr>
                <w:b/>
                <w:bCs/>
                <w:i/>
                <w:iCs/>
                <w:sz w:val="23"/>
                <w:szCs w:val="23"/>
              </w:rPr>
              <w:t xml:space="preserve">CASE </w:t>
            </w:r>
            <w:r w:rsidR="006A53C6" w:rsidRPr="00EC68B7">
              <w:rPr>
                <w:b/>
                <w:bCs/>
                <w:i/>
                <w:iCs/>
                <w:sz w:val="23"/>
                <w:szCs w:val="23"/>
              </w:rPr>
              <w:t>Agreement</w:t>
            </w:r>
            <w:r w:rsidRPr="00EC68B7">
              <w:rPr>
                <w:b/>
                <w:bCs/>
                <w:i/>
                <w:iCs/>
                <w:sz w:val="23"/>
                <w:szCs w:val="23"/>
              </w:rPr>
              <w:t xml:space="preserve"> #2</w:t>
            </w:r>
            <w:r w:rsidRPr="00EC68B7">
              <w:rPr>
                <w:sz w:val="23"/>
                <w:szCs w:val="23"/>
              </w:rPr>
              <w:t xml:space="preserve"> – </w:t>
            </w:r>
            <w:r w:rsidRPr="00EC68B7">
              <w:rPr>
                <w:i/>
                <w:iCs/>
                <w:sz w:val="23"/>
                <w:szCs w:val="23"/>
              </w:rPr>
              <w:t>An Agreement Between Client and Structural Engineer of Record for Professional Services.</w:t>
            </w:r>
            <w:r w:rsidRPr="00EC68B7">
              <w:rPr>
                <w:sz w:val="23"/>
                <w:szCs w:val="23"/>
              </w:rPr>
              <w:t xml:space="preserve">  This agreement is intended for use when the client, e.g. owner, contractor developer, etc., wishes to retain the Structural Engineer of Record directly.  This agreement may also be used with a client who is an architect when the architect-owner agreement is not an AIA agreement.</w:t>
            </w:r>
          </w:p>
          <w:p w14:paraId="6F5DF7E0" w14:textId="5D4B87A7" w:rsidR="006A53C6" w:rsidRPr="00EC68B7" w:rsidRDefault="006A53C6" w:rsidP="006A53C6">
            <w:pPr>
              <w:pStyle w:val="ListParagraph"/>
              <w:numPr>
                <w:ilvl w:val="0"/>
                <w:numId w:val="1"/>
              </w:numPr>
              <w:rPr>
                <w:sz w:val="23"/>
                <w:szCs w:val="23"/>
              </w:rPr>
            </w:pPr>
            <w:r w:rsidRPr="00EC68B7">
              <w:rPr>
                <w:b/>
                <w:bCs/>
                <w:i/>
                <w:iCs/>
                <w:sz w:val="23"/>
                <w:szCs w:val="23"/>
              </w:rPr>
              <w:t>CASE Agreement #3</w:t>
            </w:r>
            <w:r w:rsidRPr="00EC68B7">
              <w:rPr>
                <w:sz w:val="23"/>
                <w:szCs w:val="23"/>
              </w:rPr>
              <w:t xml:space="preserve"> – </w:t>
            </w:r>
            <w:r w:rsidRPr="00EC68B7">
              <w:rPr>
                <w:i/>
                <w:iCs/>
                <w:sz w:val="23"/>
                <w:szCs w:val="23"/>
              </w:rPr>
              <w:t xml:space="preserve">An Agreement between Owner and Structural Engineer as Prime Design Professional. </w:t>
            </w:r>
            <w:r w:rsidRPr="00EC68B7">
              <w:rPr>
                <w:sz w:val="23"/>
                <w:szCs w:val="23"/>
              </w:rPr>
              <w:t xml:space="preserve"> This agreement is intended for use when the Structural Engineer serves as the Prime Design Professional.</w:t>
            </w:r>
          </w:p>
          <w:p w14:paraId="26BBC333" w14:textId="0A748377" w:rsidR="0080377C" w:rsidRPr="00EC68B7" w:rsidRDefault="01E60BB0" w:rsidP="0080377C">
            <w:pPr>
              <w:pStyle w:val="ListParagraph"/>
              <w:numPr>
                <w:ilvl w:val="0"/>
                <w:numId w:val="1"/>
              </w:numPr>
              <w:rPr>
                <w:sz w:val="23"/>
                <w:szCs w:val="23"/>
              </w:rPr>
            </w:pPr>
            <w:r w:rsidRPr="00EC68B7">
              <w:rPr>
                <w:b/>
                <w:bCs/>
                <w:i/>
                <w:iCs/>
                <w:sz w:val="23"/>
                <w:szCs w:val="23"/>
              </w:rPr>
              <w:t xml:space="preserve">CASE </w:t>
            </w:r>
            <w:r w:rsidR="006A53C6" w:rsidRPr="00EC68B7">
              <w:rPr>
                <w:b/>
                <w:bCs/>
                <w:i/>
                <w:iCs/>
                <w:sz w:val="23"/>
                <w:szCs w:val="23"/>
              </w:rPr>
              <w:t>Agreement</w:t>
            </w:r>
            <w:r w:rsidRPr="00EC68B7">
              <w:rPr>
                <w:b/>
                <w:bCs/>
                <w:i/>
                <w:iCs/>
                <w:sz w:val="23"/>
                <w:szCs w:val="23"/>
              </w:rPr>
              <w:t xml:space="preserve"> #</w:t>
            </w:r>
            <w:r w:rsidR="006A53C6" w:rsidRPr="00EC68B7">
              <w:rPr>
                <w:b/>
                <w:bCs/>
                <w:i/>
                <w:iCs/>
                <w:sz w:val="23"/>
                <w:szCs w:val="23"/>
              </w:rPr>
              <w:t>4</w:t>
            </w:r>
            <w:r w:rsidRPr="00EC68B7">
              <w:rPr>
                <w:sz w:val="23"/>
                <w:szCs w:val="23"/>
              </w:rPr>
              <w:t xml:space="preserve"> – </w:t>
            </w:r>
            <w:r w:rsidRPr="00EC68B7">
              <w:rPr>
                <w:i/>
                <w:iCs/>
                <w:sz w:val="23"/>
                <w:szCs w:val="23"/>
              </w:rPr>
              <w:t xml:space="preserve">An Agreement between Client and Structural Engineer for Special Inspection Services. </w:t>
            </w:r>
            <w:r w:rsidRPr="00EC68B7">
              <w:rPr>
                <w:sz w:val="23"/>
                <w:szCs w:val="23"/>
              </w:rPr>
              <w:t xml:space="preserve"> This agreement is intended for use when the Structural Engineer is hired directly by the Owner to provide Special Inspection services.</w:t>
            </w:r>
          </w:p>
          <w:p w14:paraId="4E0D40C1" w14:textId="110C559B" w:rsidR="006A53C6" w:rsidRPr="00EC68B7" w:rsidRDefault="006A53C6" w:rsidP="006A53C6">
            <w:pPr>
              <w:pStyle w:val="ListParagraph"/>
              <w:numPr>
                <w:ilvl w:val="0"/>
                <w:numId w:val="1"/>
              </w:numPr>
              <w:rPr>
                <w:sz w:val="23"/>
                <w:szCs w:val="23"/>
              </w:rPr>
            </w:pPr>
            <w:r w:rsidRPr="00EC68B7">
              <w:rPr>
                <w:b/>
                <w:bCs/>
                <w:i/>
                <w:iCs/>
                <w:sz w:val="23"/>
                <w:szCs w:val="23"/>
              </w:rPr>
              <w:t>CASE Agreement #5</w:t>
            </w:r>
            <w:r w:rsidRPr="00EC68B7">
              <w:rPr>
                <w:sz w:val="23"/>
                <w:szCs w:val="23"/>
              </w:rPr>
              <w:t xml:space="preserve"> – </w:t>
            </w:r>
            <w:r w:rsidRPr="00EC68B7">
              <w:rPr>
                <w:i/>
                <w:iCs/>
                <w:sz w:val="23"/>
                <w:szCs w:val="23"/>
              </w:rPr>
              <w:t xml:space="preserve">An Agreement Between Client and Specialty Structural Engineer for Professional Services.  </w:t>
            </w:r>
            <w:r w:rsidRPr="00EC68B7">
              <w:rPr>
                <w:sz w:val="23"/>
                <w:szCs w:val="23"/>
              </w:rPr>
              <w:t>This agreement is intended for use when the structural engineer is hired directly by a contractor or sub-contractor for work to be included in a project where you are not the Structural Engineer of Record.</w:t>
            </w:r>
          </w:p>
          <w:p w14:paraId="74D4B0C3" w14:textId="44C7D082" w:rsidR="006A53C6" w:rsidRPr="00EC68B7" w:rsidRDefault="006A53C6" w:rsidP="00694DE7">
            <w:pPr>
              <w:pStyle w:val="ListParagraph"/>
              <w:numPr>
                <w:ilvl w:val="0"/>
                <w:numId w:val="1"/>
              </w:numPr>
              <w:rPr>
                <w:sz w:val="23"/>
                <w:szCs w:val="23"/>
              </w:rPr>
            </w:pPr>
            <w:r w:rsidRPr="00EC68B7">
              <w:rPr>
                <w:b/>
                <w:bCs/>
                <w:i/>
                <w:iCs/>
                <w:sz w:val="23"/>
                <w:szCs w:val="23"/>
              </w:rPr>
              <w:t>CASE Agreement #6</w:t>
            </w:r>
            <w:r w:rsidRPr="00EC68B7">
              <w:rPr>
                <w:sz w:val="23"/>
                <w:szCs w:val="23"/>
              </w:rPr>
              <w:t xml:space="preserve"> – </w:t>
            </w:r>
            <w:r w:rsidRPr="00EC68B7">
              <w:rPr>
                <w:i/>
                <w:iCs/>
                <w:sz w:val="23"/>
                <w:szCs w:val="23"/>
              </w:rPr>
              <w:t xml:space="preserve">An Agreement Between Client and Structural Engineer for a Structural Condition Assessment. </w:t>
            </w:r>
            <w:r w:rsidRPr="00EC68B7">
              <w:rPr>
                <w:sz w:val="23"/>
                <w:szCs w:val="23"/>
              </w:rPr>
              <w:t xml:space="preserve"> This agreement is intended for use when providing a structural condition assessment.</w:t>
            </w:r>
          </w:p>
          <w:p w14:paraId="4CE8FFF5" w14:textId="5F82F872" w:rsidR="001D3B29" w:rsidRPr="00EC68B7" w:rsidRDefault="01E60BB0" w:rsidP="00694DE7">
            <w:pPr>
              <w:pStyle w:val="ListParagraph"/>
              <w:numPr>
                <w:ilvl w:val="0"/>
                <w:numId w:val="1"/>
              </w:numPr>
              <w:rPr>
                <w:sz w:val="23"/>
                <w:szCs w:val="23"/>
              </w:rPr>
            </w:pPr>
            <w:r w:rsidRPr="00EC68B7">
              <w:rPr>
                <w:b/>
                <w:bCs/>
                <w:i/>
                <w:iCs/>
                <w:sz w:val="23"/>
                <w:szCs w:val="23"/>
              </w:rPr>
              <w:t xml:space="preserve">CASE </w:t>
            </w:r>
            <w:r w:rsidR="006A53C6" w:rsidRPr="00EC68B7">
              <w:rPr>
                <w:b/>
                <w:bCs/>
                <w:i/>
                <w:iCs/>
                <w:sz w:val="23"/>
                <w:szCs w:val="23"/>
              </w:rPr>
              <w:t>Agreement</w:t>
            </w:r>
            <w:r w:rsidRPr="00EC68B7">
              <w:rPr>
                <w:b/>
                <w:bCs/>
                <w:i/>
                <w:iCs/>
                <w:sz w:val="23"/>
                <w:szCs w:val="23"/>
              </w:rPr>
              <w:t xml:space="preserve"> #</w:t>
            </w:r>
            <w:r w:rsidR="006A53C6" w:rsidRPr="00EC68B7">
              <w:rPr>
                <w:b/>
                <w:bCs/>
                <w:i/>
                <w:iCs/>
                <w:sz w:val="23"/>
                <w:szCs w:val="23"/>
              </w:rPr>
              <w:t>7</w:t>
            </w:r>
            <w:r w:rsidRPr="00EC68B7">
              <w:rPr>
                <w:sz w:val="23"/>
                <w:szCs w:val="23"/>
              </w:rPr>
              <w:t xml:space="preserve"> – </w:t>
            </w:r>
            <w:r w:rsidRPr="00EC68B7">
              <w:rPr>
                <w:i/>
                <w:iCs/>
                <w:sz w:val="23"/>
                <w:szCs w:val="23"/>
              </w:rPr>
              <w:t>An Agreement for Structural Peer Review Services</w:t>
            </w:r>
            <w:r w:rsidRPr="00EC68B7">
              <w:rPr>
                <w:sz w:val="23"/>
                <w:szCs w:val="23"/>
              </w:rPr>
              <w:t>.  This agreement is intended for use when performing a peer review for an Owner or another entity and includes responsibilities and limitations.</w:t>
            </w:r>
          </w:p>
          <w:p w14:paraId="65223B68" w14:textId="32D7579A" w:rsidR="00C14095" w:rsidRDefault="006A53C6" w:rsidP="00C14095">
            <w:pPr>
              <w:pStyle w:val="ListParagraph"/>
              <w:numPr>
                <w:ilvl w:val="0"/>
                <w:numId w:val="1"/>
              </w:numPr>
            </w:pPr>
            <w:r w:rsidRPr="00EC68B7">
              <w:rPr>
                <w:b/>
                <w:bCs/>
                <w:i/>
                <w:iCs/>
                <w:sz w:val="23"/>
                <w:szCs w:val="23"/>
              </w:rPr>
              <w:t>CASE Agreement #8</w:t>
            </w:r>
            <w:r w:rsidRPr="00EC68B7">
              <w:rPr>
                <w:sz w:val="23"/>
                <w:szCs w:val="23"/>
              </w:rPr>
              <w:t xml:space="preserve"> – </w:t>
            </w:r>
            <w:r w:rsidRPr="00EC68B7">
              <w:rPr>
                <w:i/>
                <w:iCs/>
                <w:sz w:val="23"/>
                <w:szCs w:val="23"/>
              </w:rPr>
              <w:t xml:space="preserve">An Agreement Between Client and Structural Engineer for Forensic Engineering (Expert) Services. </w:t>
            </w:r>
            <w:r w:rsidRPr="00EC68B7">
              <w:rPr>
                <w:sz w:val="23"/>
                <w:szCs w:val="23"/>
              </w:rPr>
              <w:t xml:space="preserve"> This agreement is intended for use when the engineer is engaged as a forensic expert, primarily when the Structural Engineer is engaged as an expert in the resolution of construction disputes.  It can be adapted to other circumstances where the Structural Engineer is a qualified expert.</w:t>
            </w:r>
            <w:r>
              <w:t xml:space="preserve"> </w:t>
            </w:r>
          </w:p>
        </w:tc>
        <w:tc>
          <w:tcPr>
            <w:tcW w:w="7110" w:type="dxa"/>
          </w:tcPr>
          <w:p w14:paraId="296DC517" w14:textId="4A35131A" w:rsidR="0080377C" w:rsidRPr="00EC68B7" w:rsidRDefault="01E60BB0" w:rsidP="0080377C">
            <w:pPr>
              <w:pStyle w:val="ListParagraph"/>
              <w:numPr>
                <w:ilvl w:val="0"/>
                <w:numId w:val="1"/>
              </w:numPr>
              <w:rPr>
                <w:sz w:val="23"/>
                <w:szCs w:val="23"/>
              </w:rPr>
            </w:pPr>
            <w:r w:rsidRPr="00EC68B7">
              <w:rPr>
                <w:b/>
                <w:bCs/>
                <w:i/>
                <w:iCs/>
                <w:sz w:val="23"/>
                <w:szCs w:val="23"/>
              </w:rPr>
              <w:t xml:space="preserve">CASE </w:t>
            </w:r>
            <w:r w:rsidR="006A53C6" w:rsidRPr="00EC68B7">
              <w:rPr>
                <w:b/>
                <w:bCs/>
                <w:i/>
                <w:iCs/>
                <w:sz w:val="23"/>
                <w:szCs w:val="23"/>
              </w:rPr>
              <w:t>Agreement</w:t>
            </w:r>
            <w:r w:rsidRPr="00EC68B7">
              <w:rPr>
                <w:b/>
                <w:bCs/>
                <w:i/>
                <w:iCs/>
                <w:sz w:val="23"/>
                <w:szCs w:val="23"/>
              </w:rPr>
              <w:t xml:space="preserve"> #</w:t>
            </w:r>
            <w:r w:rsidR="006A53C6" w:rsidRPr="00EC68B7">
              <w:rPr>
                <w:b/>
                <w:bCs/>
                <w:i/>
                <w:iCs/>
                <w:sz w:val="23"/>
                <w:szCs w:val="23"/>
              </w:rPr>
              <w:t>9</w:t>
            </w:r>
            <w:r w:rsidRPr="00EC68B7">
              <w:rPr>
                <w:sz w:val="23"/>
                <w:szCs w:val="23"/>
              </w:rPr>
              <w:t xml:space="preserve"> – </w:t>
            </w:r>
            <w:r w:rsidRPr="00EC68B7">
              <w:rPr>
                <w:i/>
                <w:iCs/>
                <w:sz w:val="23"/>
                <w:szCs w:val="23"/>
              </w:rPr>
              <w:t>An Agreement Between Structural Engineer of Record and Design Professional for Services</w:t>
            </w:r>
            <w:r w:rsidRPr="00EC68B7">
              <w:rPr>
                <w:sz w:val="23"/>
                <w:szCs w:val="23"/>
              </w:rPr>
              <w:t xml:space="preserve">.  This agreement is intended for use when the Structural Engineer of Record, when serving in the role of Prime Design Professional or as a Consultant retains the services of a sub-consultant or architect. </w:t>
            </w:r>
          </w:p>
          <w:p w14:paraId="585FC8FF" w14:textId="77777777" w:rsidR="0080377C" w:rsidRPr="00EC68B7" w:rsidRDefault="01E60BB0" w:rsidP="0080377C">
            <w:pPr>
              <w:pStyle w:val="ListParagraph"/>
              <w:numPr>
                <w:ilvl w:val="0"/>
                <w:numId w:val="1"/>
              </w:numPr>
              <w:rPr>
                <w:sz w:val="23"/>
                <w:szCs w:val="23"/>
              </w:rPr>
            </w:pPr>
            <w:r w:rsidRPr="00EC68B7">
              <w:rPr>
                <w:b/>
                <w:bCs/>
                <w:i/>
                <w:iCs/>
                <w:sz w:val="23"/>
                <w:szCs w:val="23"/>
              </w:rPr>
              <w:t xml:space="preserve">CASE </w:t>
            </w:r>
            <w:r w:rsidR="006B5178" w:rsidRPr="00EC68B7">
              <w:rPr>
                <w:b/>
                <w:bCs/>
                <w:i/>
                <w:iCs/>
                <w:sz w:val="23"/>
                <w:szCs w:val="23"/>
              </w:rPr>
              <w:t>Agreement</w:t>
            </w:r>
            <w:r w:rsidRPr="00EC68B7">
              <w:rPr>
                <w:b/>
                <w:bCs/>
                <w:i/>
                <w:iCs/>
                <w:sz w:val="23"/>
                <w:szCs w:val="23"/>
              </w:rPr>
              <w:t xml:space="preserve"> #10</w:t>
            </w:r>
            <w:r w:rsidRPr="00EC68B7">
              <w:rPr>
                <w:sz w:val="23"/>
                <w:szCs w:val="23"/>
              </w:rPr>
              <w:t xml:space="preserve"> – </w:t>
            </w:r>
            <w:r w:rsidRPr="00EC68B7">
              <w:rPr>
                <w:i/>
                <w:iCs/>
                <w:sz w:val="23"/>
                <w:szCs w:val="23"/>
              </w:rPr>
              <w:t xml:space="preserve">An Agreement Between Structural Engineer of Record and Geotechnical Engineer of Record. </w:t>
            </w:r>
            <w:r w:rsidRPr="00EC68B7">
              <w:rPr>
                <w:sz w:val="23"/>
                <w:szCs w:val="23"/>
              </w:rPr>
              <w:t xml:space="preserve"> This agreement is intended for use when the Structural Engineer of Record retains geotechnical engineering services. It can also be altered for use as an agreement between an Owner and the Geotechnical Engineer of Record.</w:t>
            </w:r>
          </w:p>
          <w:p w14:paraId="6DAED4CC" w14:textId="77777777" w:rsidR="00EC68B7" w:rsidRPr="00EC68B7" w:rsidRDefault="00EC68B7" w:rsidP="00EC68B7">
            <w:pPr>
              <w:pStyle w:val="ListParagraph"/>
              <w:numPr>
                <w:ilvl w:val="0"/>
                <w:numId w:val="1"/>
              </w:numPr>
              <w:rPr>
                <w:sz w:val="23"/>
                <w:szCs w:val="23"/>
              </w:rPr>
            </w:pPr>
            <w:r w:rsidRPr="00EC68B7">
              <w:rPr>
                <w:b/>
                <w:bCs/>
                <w:i/>
                <w:iCs/>
                <w:sz w:val="23"/>
                <w:szCs w:val="23"/>
              </w:rPr>
              <w:t>CASE Agreement #11</w:t>
            </w:r>
            <w:r w:rsidRPr="00EC68B7">
              <w:rPr>
                <w:sz w:val="23"/>
                <w:szCs w:val="23"/>
              </w:rPr>
              <w:t xml:space="preserve"> – </w:t>
            </w:r>
            <w:r w:rsidRPr="00EC68B7">
              <w:rPr>
                <w:i/>
                <w:iCs/>
                <w:sz w:val="23"/>
                <w:szCs w:val="23"/>
              </w:rPr>
              <w:t>An Agreement Between Structural Engineer of Record and Testing Laboratory</w:t>
            </w:r>
            <w:r w:rsidRPr="00EC68B7">
              <w:rPr>
                <w:sz w:val="23"/>
                <w:szCs w:val="23"/>
              </w:rPr>
              <w:t xml:space="preserve">.  This document is intended for use when the structural engineer retains testing services. </w:t>
            </w:r>
          </w:p>
          <w:p w14:paraId="476C53F4" w14:textId="57C5BFE6" w:rsidR="00EC68B7" w:rsidRDefault="00EC68B7" w:rsidP="00EC68B7">
            <w:pPr>
              <w:pStyle w:val="ListParagraph"/>
            </w:pPr>
          </w:p>
        </w:tc>
        <w:tc>
          <w:tcPr>
            <w:tcW w:w="6750" w:type="dxa"/>
          </w:tcPr>
          <w:p w14:paraId="450735EB" w14:textId="2C50C283" w:rsidR="00C14095" w:rsidRPr="00EC68B7" w:rsidRDefault="00C14095" w:rsidP="00C14095">
            <w:pPr>
              <w:pStyle w:val="ListParagraph"/>
              <w:numPr>
                <w:ilvl w:val="0"/>
                <w:numId w:val="1"/>
              </w:numPr>
              <w:rPr>
                <w:sz w:val="23"/>
                <w:szCs w:val="23"/>
              </w:rPr>
            </w:pPr>
            <w:r w:rsidRPr="00EC68B7">
              <w:rPr>
                <w:b/>
                <w:bCs/>
                <w:i/>
                <w:iCs/>
                <w:sz w:val="23"/>
                <w:szCs w:val="23"/>
              </w:rPr>
              <w:t xml:space="preserve">CASE </w:t>
            </w:r>
            <w:r w:rsidR="006B5178" w:rsidRPr="00EC68B7">
              <w:rPr>
                <w:b/>
                <w:bCs/>
                <w:i/>
                <w:iCs/>
                <w:sz w:val="23"/>
                <w:szCs w:val="23"/>
              </w:rPr>
              <w:t>Agreemen</w:t>
            </w:r>
            <w:r w:rsidRPr="00EC68B7">
              <w:rPr>
                <w:b/>
                <w:bCs/>
                <w:i/>
                <w:iCs/>
                <w:sz w:val="23"/>
                <w:szCs w:val="23"/>
              </w:rPr>
              <w:t>t #12</w:t>
            </w:r>
            <w:r w:rsidRPr="00EC68B7">
              <w:rPr>
                <w:sz w:val="23"/>
                <w:szCs w:val="23"/>
              </w:rPr>
              <w:t xml:space="preserve"> – </w:t>
            </w:r>
            <w:r w:rsidRPr="00EC68B7">
              <w:rPr>
                <w:i/>
                <w:iCs/>
                <w:sz w:val="23"/>
                <w:szCs w:val="23"/>
              </w:rPr>
              <w:t xml:space="preserve">An Agreement Between Structural Engineer of Record (SER) And Contractor for Transfer of Digital Data (Computer Aided Drafting (CAD) or Building Information Model (BIM)) Files. </w:t>
            </w:r>
            <w:r w:rsidRPr="00EC68B7">
              <w:rPr>
                <w:sz w:val="23"/>
                <w:szCs w:val="23"/>
              </w:rPr>
              <w:t xml:space="preserve"> This agreement is intended for use when transferring CAD or BIM files to others. </w:t>
            </w:r>
          </w:p>
          <w:p w14:paraId="19335589" w14:textId="193B4FC8" w:rsidR="00C14095" w:rsidRPr="00EC68B7" w:rsidRDefault="00C14095" w:rsidP="0080377C">
            <w:pPr>
              <w:pStyle w:val="ListParagraph"/>
              <w:numPr>
                <w:ilvl w:val="0"/>
                <w:numId w:val="1"/>
              </w:numPr>
              <w:rPr>
                <w:sz w:val="23"/>
                <w:szCs w:val="23"/>
              </w:rPr>
            </w:pPr>
            <w:r w:rsidRPr="00EC68B7">
              <w:rPr>
                <w:b/>
                <w:bCs/>
                <w:i/>
                <w:iCs/>
                <w:sz w:val="23"/>
                <w:szCs w:val="23"/>
              </w:rPr>
              <w:t xml:space="preserve">CASE </w:t>
            </w:r>
            <w:r w:rsidR="006B5178" w:rsidRPr="00EC68B7">
              <w:rPr>
                <w:b/>
                <w:bCs/>
                <w:i/>
                <w:iCs/>
                <w:sz w:val="23"/>
                <w:szCs w:val="23"/>
              </w:rPr>
              <w:t>Commentary</w:t>
            </w:r>
            <w:r w:rsidRPr="00EC68B7">
              <w:rPr>
                <w:b/>
                <w:bCs/>
                <w:i/>
                <w:iCs/>
                <w:sz w:val="23"/>
                <w:szCs w:val="23"/>
              </w:rPr>
              <w:t xml:space="preserve"> #</w:t>
            </w:r>
            <w:r w:rsidRPr="00EC68B7">
              <w:rPr>
                <w:b/>
                <w:bCs/>
                <w:sz w:val="23"/>
                <w:szCs w:val="23"/>
              </w:rPr>
              <w:t>A–</w:t>
            </w:r>
            <w:r w:rsidRPr="00EC68B7">
              <w:rPr>
                <w:sz w:val="23"/>
                <w:szCs w:val="23"/>
              </w:rPr>
              <w:t xml:space="preserve"> </w:t>
            </w:r>
            <w:r w:rsidRPr="00EC68B7">
              <w:rPr>
                <w:i/>
                <w:iCs/>
                <w:sz w:val="23"/>
                <w:szCs w:val="23"/>
              </w:rPr>
              <w:t xml:space="preserve">Agreement for Use with and Commentary on AIA Document C401 "Standard Form of Agreement Between Architect and Consultant," 2017 Edition.  </w:t>
            </w:r>
            <w:r w:rsidRPr="00EC68B7">
              <w:rPr>
                <w:sz w:val="23"/>
                <w:szCs w:val="23"/>
              </w:rPr>
              <w:t xml:space="preserve">This document is intended for use as a </w:t>
            </w:r>
            <w:proofErr w:type="gramStart"/>
            <w:r w:rsidRPr="00EC68B7">
              <w:rPr>
                <w:sz w:val="23"/>
                <w:szCs w:val="23"/>
              </w:rPr>
              <w:t>letter-form</w:t>
            </w:r>
            <w:proofErr w:type="gramEnd"/>
            <w:r w:rsidRPr="00EC68B7">
              <w:rPr>
                <w:sz w:val="23"/>
                <w:szCs w:val="23"/>
              </w:rPr>
              <w:t xml:space="preserve"> of agreement which adopts the AIA C401 by reference.  This Agreement is intended for use when the owner-architect agreement is an AIA B-series.  A scope of services is included.  The purpose of the commentary is to point out provisions that merit special attention.</w:t>
            </w:r>
          </w:p>
          <w:p w14:paraId="2ED7A7E9" w14:textId="5D779927" w:rsidR="00C14095" w:rsidRPr="00EC68B7" w:rsidRDefault="00C14095" w:rsidP="00C14095">
            <w:pPr>
              <w:pStyle w:val="ListParagraph"/>
              <w:numPr>
                <w:ilvl w:val="0"/>
                <w:numId w:val="1"/>
              </w:numPr>
              <w:rPr>
                <w:sz w:val="23"/>
                <w:szCs w:val="23"/>
              </w:rPr>
            </w:pPr>
            <w:r w:rsidRPr="00EC68B7">
              <w:rPr>
                <w:b/>
                <w:bCs/>
                <w:i/>
                <w:iCs/>
                <w:sz w:val="23"/>
                <w:szCs w:val="23"/>
              </w:rPr>
              <w:t>CASE Commentary #B</w:t>
            </w:r>
            <w:r w:rsidRPr="00EC68B7">
              <w:rPr>
                <w:sz w:val="23"/>
                <w:szCs w:val="23"/>
              </w:rPr>
              <w:t xml:space="preserve"> – </w:t>
            </w:r>
            <w:r w:rsidRPr="00EC68B7">
              <w:rPr>
                <w:i/>
                <w:iCs/>
                <w:sz w:val="23"/>
                <w:szCs w:val="23"/>
              </w:rPr>
              <w:t xml:space="preserve">Commentary on AIA Document A295 – 2008 “General Conditions of the Contract for Integrated Project Delivery”, 2008 Edition. </w:t>
            </w:r>
            <w:r w:rsidRPr="00EC68B7">
              <w:rPr>
                <w:sz w:val="23"/>
                <w:szCs w:val="23"/>
              </w:rPr>
              <w:t xml:space="preserve"> This document provides commentary on AIA Document A295 Integrated Project Delivery.</w:t>
            </w:r>
          </w:p>
          <w:p w14:paraId="33AC93FA" w14:textId="394784AD" w:rsidR="0080377C" w:rsidRDefault="01E60BB0" w:rsidP="0080377C">
            <w:pPr>
              <w:pStyle w:val="ListParagraph"/>
              <w:numPr>
                <w:ilvl w:val="0"/>
                <w:numId w:val="1"/>
              </w:numPr>
            </w:pPr>
            <w:r w:rsidRPr="00EC68B7">
              <w:rPr>
                <w:b/>
                <w:bCs/>
                <w:i/>
                <w:iCs/>
                <w:sz w:val="23"/>
                <w:szCs w:val="23"/>
              </w:rPr>
              <w:t xml:space="preserve">CASE </w:t>
            </w:r>
            <w:r w:rsidR="006A53C6" w:rsidRPr="00EC68B7">
              <w:rPr>
                <w:b/>
                <w:bCs/>
                <w:i/>
                <w:iCs/>
                <w:sz w:val="23"/>
                <w:szCs w:val="23"/>
              </w:rPr>
              <w:t>Commentary</w:t>
            </w:r>
            <w:r w:rsidRPr="00EC68B7">
              <w:rPr>
                <w:b/>
                <w:bCs/>
                <w:i/>
                <w:iCs/>
                <w:sz w:val="23"/>
                <w:szCs w:val="23"/>
              </w:rPr>
              <w:t xml:space="preserve"> #</w:t>
            </w:r>
            <w:r w:rsidR="006A53C6" w:rsidRPr="00EC68B7">
              <w:rPr>
                <w:b/>
                <w:bCs/>
                <w:i/>
                <w:iCs/>
                <w:sz w:val="23"/>
                <w:szCs w:val="23"/>
              </w:rPr>
              <w:t>C</w:t>
            </w:r>
            <w:r w:rsidRPr="00EC68B7">
              <w:rPr>
                <w:sz w:val="23"/>
                <w:szCs w:val="23"/>
              </w:rPr>
              <w:t xml:space="preserve"> –</w:t>
            </w:r>
            <w:r w:rsidRPr="00EC68B7">
              <w:rPr>
                <w:i/>
                <w:iCs/>
                <w:sz w:val="23"/>
                <w:szCs w:val="23"/>
              </w:rPr>
              <w:t xml:space="preserve"> Commentary on AIA Document A201 "General Conditions of the Contract for Construction," 20</w:t>
            </w:r>
            <w:r w:rsidR="00C14095" w:rsidRPr="00EC68B7">
              <w:rPr>
                <w:i/>
                <w:iCs/>
                <w:sz w:val="23"/>
                <w:szCs w:val="23"/>
              </w:rPr>
              <w:t>17</w:t>
            </w:r>
            <w:r w:rsidRPr="00EC68B7">
              <w:rPr>
                <w:i/>
                <w:iCs/>
                <w:sz w:val="23"/>
                <w:szCs w:val="23"/>
              </w:rPr>
              <w:t xml:space="preserve"> Edition</w:t>
            </w:r>
            <w:r w:rsidRPr="00EC68B7">
              <w:rPr>
                <w:sz w:val="23"/>
                <w:szCs w:val="23"/>
              </w:rPr>
              <w:t>.  This document provides Commentary on AIA document A201</w:t>
            </w:r>
            <w:r w:rsidR="00C14095" w:rsidRPr="00EC68B7">
              <w:rPr>
                <w:sz w:val="23"/>
                <w:szCs w:val="23"/>
              </w:rPr>
              <w:t>-2017</w:t>
            </w:r>
            <w:r w:rsidRPr="00EC68B7">
              <w:rPr>
                <w:sz w:val="23"/>
                <w:szCs w:val="23"/>
              </w:rPr>
              <w:t xml:space="preserve"> sections which merit special attention.</w:t>
            </w:r>
          </w:p>
        </w:tc>
      </w:tr>
    </w:tbl>
    <w:p w14:paraId="0BD0686B" w14:textId="5542858B" w:rsidR="00C40BEE" w:rsidRDefault="00C40BEE" w:rsidP="0080377C"/>
    <w:sectPr w:rsidR="00C40BEE" w:rsidSect="006575AC">
      <w:headerReference w:type="default" r:id="rId8"/>
      <w:footerReference w:type="default" r:id="rId9"/>
      <w:pgSz w:w="24480" w:h="15840" w:orient="landscape" w:code="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E6672" w14:textId="77777777" w:rsidR="00C40BEE" w:rsidRDefault="00C40BEE" w:rsidP="00C40BEE">
      <w:pPr>
        <w:spacing w:after="0" w:line="240" w:lineRule="auto"/>
      </w:pPr>
      <w:r>
        <w:separator/>
      </w:r>
    </w:p>
  </w:endnote>
  <w:endnote w:type="continuationSeparator" w:id="0">
    <w:p w14:paraId="32466C2D" w14:textId="77777777" w:rsidR="00C40BEE" w:rsidRDefault="00C40BEE" w:rsidP="00C40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A1A5" w14:textId="161F0BE5" w:rsidR="00C40BEE" w:rsidRPr="00121863" w:rsidRDefault="00C14095" w:rsidP="00121863">
    <w:pPr>
      <w:pStyle w:val="Footer"/>
      <w:jc w:val="right"/>
      <w:rPr>
        <w:b/>
        <w:i/>
      </w:rPr>
    </w:pPr>
    <w:r>
      <w:rPr>
        <w:b/>
        <w:i/>
      </w:rPr>
      <w:t>Created</w:t>
    </w:r>
    <w:r w:rsidR="00121863" w:rsidRPr="00121863">
      <w:rPr>
        <w:b/>
        <w:i/>
      </w:rPr>
      <w:t xml:space="preserve">: </w:t>
    </w:r>
    <w:r w:rsidR="00C40BEE" w:rsidRPr="00121863">
      <w:rPr>
        <w:b/>
        <w:i/>
      </w:rPr>
      <w:t>2/2017</w:t>
    </w:r>
    <w:r>
      <w:rPr>
        <w:b/>
        <w:i/>
      </w:rPr>
      <w:t>; Updated: 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A6FCB" w14:textId="77777777" w:rsidR="00C40BEE" w:rsidRDefault="00C40BEE" w:rsidP="00C40BEE">
      <w:pPr>
        <w:spacing w:after="0" w:line="240" w:lineRule="auto"/>
      </w:pPr>
      <w:r>
        <w:separator/>
      </w:r>
    </w:p>
  </w:footnote>
  <w:footnote w:type="continuationSeparator" w:id="0">
    <w:p w14:paraId="4DE463D6" w14:textId="77777777" w:rsidR="00C40BEE" w:rsidRDefault="00C40BEE" w:rsidP="00C40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4BC0" w14:textId="6C7855A2" w:rsidR="00121863" w:rsidRDefault="00121863" w:rsidP="001218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02CB4"/>
    <w:multiLevelType w:val="hybridMultilevel"/>
    <w:tmpl w:val="00A86B4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915"/>
    <w:rsid w:val="000608B2"/>
    <w:rsid w:val="00121863"/>
    <w:rsid w:val="00123626"/>
    <w:rsid w:val="00127A41"/>
    <w:rsid w:val="00130734"/>
    <w:rsid w:val="001D3B29"/>
    <w:rsid w:val="002C1B15"/>
    <w:rsid w:val="00311D08"/>
    <w:rsid w:val="004C09BF"/>
    <w:rsid w:val="004D2915"/>
    <w:rsid w:val="005C616D"/>
    <w:rsid w:val="00655914"/>
    <w:rsid w:val="006575AC"/>
    <w:rsid w:val="006A53C6"/>
    <w:rsid w:val="006A788F"/>
    <w:rsid w:val="006B5178"/>
    <w:rsid w:val="00782F72"/>
    <w:rsid w:val="0080377C"/>
    <w:rsid w:val="008A0848"/>
    <w:rsid w:val="008A117C"/>
    <w:rsid w:val="008C642D"/>
    <w:rsid w:val="00B21FEE"/>
    <w:rsid w:val="00B2211C"/>
    <w:rsid w:val="00C14095"/>
    <w:rsid w:val="00C40BEE"/>
    <w:rsid w:val="00C775F1"/>
    <w:rsid w:val="00C93B73"/>
    <w:rsid w:val="00CA1CEC"/>
    <w:rsid w:val="00D17BBD"/>
    <w:rsid w:val="00D27779"/>
    <w:rsid w:val="00EC68B7"/>
    <w:rsid w:val="00F2014D"/>
    <w:rsid w:val="00F37CF4"/>
    <w:rsid w:val="00FB223A"/>
    <w:rsid w:val="01E6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E2C844"/>
  <w15:docId w15:val="{E6C7F919-FBF7-4A04-9ED4-520F1139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77C"/>
    <w:pPr>
      <w:ind w:left="720"/>
      <w:contextualSpacing/>
    </w:pPr>
  </w:style>
  <w:style w:type="paragraph" w:styleId="Header">
    <w:name w:val="header"/>
    <w:basedOn w:val="Normal"/>
    <w:link w:val="HeaderChar"/>
    <w:uiPriority w:val="99"/>
    <w:unhideWhenUsed/>
    <w:rsid w:val="00C40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BEE"/>
  </w:style>
  <w:style w:type="paragraph" w:styleId="Footer">
    <w:name w:val="footer"/>
    <w:basedOn w:val="Normal"/>
    <w:link w:val="FooterChar"/>
    <w:uiPriority w:val="99"/>
    <w:unhideWhenUsed/>
    <w:rsid w:val="00C40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BEE"/>
  </w:style>
  <w:style w:type="paragraph" w:styleId="NoSpacing">
    <w:name w:val="No Spacing"/>
    <w:uiPriority w:val="1"/>
    <w:qFormat/>
    <w:rsid w:val="00121863"/>
    <w:pPr>
      <w:spacing w:after="0" w:line="240" w:lineRule="auto"/>
    </w:pPr>
  </w:style>
  <w:style w:type="paragraph" w:styleId="BalloonText">
    <w:name w:val="Balloon Text"/>
    <w:basedOn w:val="Normal"/>
    <w:link w:val="BalloonTextChar"/>
    <w:uiPriority w:val="99"/>
    <w:semiHidden/>
    <w:unhideWhenUsed/>
    <w:rsid w:val="00121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ACEC</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Schwieter</dc:creator>
  <cp:lastModifiedBy>Heather Talbert</cp:lastModifiedBy>
  <cp:revision>6</cp:revision>
  <dcterms:created xsi:type="dcterms:W3CDTF">2017-02-21T21:43:00Z</dcterms:created>
  <dcterms:modified xsi:type="dcterms:W3CDTF">2019-08-26T17:07:00Z</dcterms:modified>
</cp:coreProperties>
</file>